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D6C2" w14:textId="6BB65C86" w:rsidR="005E0B71" w:rsidRDefault="005E0B71" w:rsidP="003D762E">
      <w:pPr>
        <w:pStyle w:val="Title"/>
        <w:framePr w:wrap="notBeside" w:x="1434" w:y="-573"/>
      </w:pPr>
      <w:r>
        <w:t xml:space="preserve">Template for Preparation of </w:t>
      </w:r>
      <w:r w:rsidR="0077665C">
        <w:t>‘NEW’ One-Page</w:t>
      </w:r>
      <w:r>
        <w:t xml:space="preserve"> Abstract for IEEE-</w:t>
      </w:r>
      <w:r w:rsidR="003D762E">
        <w:t>NEMS 2020</w:t>
      </w:r>
    </w:p>
    <w:p w14:paraId="4D467F5A" w14:textId="6F43F00A" w:rsidR="005E0B71" w:rsidRDefault="005E0B71" w:rsidP="00FD2F62">
      <w:pPr>
        <w:pStyle w:val="Authors"/>
        <w:framePr w:wrap="notBeside" w:x="1564" w:y="847"/>
      </w:pPr>
      <w:r>
        <w:t>First A. Author</w:t>
      </w:r>
      <w:r w:rsidR="003C46C7">
        <w:rPr>
          <w:vertAlign w:val="superscript"/>
        </w:rPr>
        <w:t>1</w:t>
      </w:r>
      <w:r>
        <w:t>, Second B. Author, Jr.</w:t>
      </w:r>
      <w:r w:rsidR="003C46C7">
        <w:rPr>
          <w:vertAlign w:val="superscript"/>
        </w:rPr>
        <w:t>2</w:t>
      </w:r>
      <w:r>
        <w:t>, and Third C. Author</w:t>
      </w:r>
      <w:r w:rsidR="003C46C7">
        <w:rPr>
          <w:vertAlign w:val="superscript"/>
        </w:rPr>
        <w:t>1,2</w:t>
      </w:r>
      <w:r>
        <w:t xml:space="preserve">, </w:t>
      </w:r>
      <w:r>
        <w:rPr>
          <w:rStyle w:val="MemberType"/>
        </w:rPr>
        <w:t>Member, IEEE</w:t>
      </w:r>
    </w:p>
    <w:p w14:paraId="58ACAABF" w14:textId="15BD849E" w:rsidR="005E0B71" w:rsidRPr="003C46C7" w:rsidRDefault="003C46C7" w:rsidP="00FD2F62">
      <w:pPr>
        <w:pStyle w:val="Authors"/>
        <w:framePr w:wrap="notBeside" w:x="1554" w:y="1437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5E0B71" w:rsidRPr="005E0B71">
        <w:rPr>
          <w:sz w:val="20"/>
          <w:szCs w:val="20"/>
        </w:rPr>
        <w:t>Author affiliation</w:t>
      </w:r>
      <w:r w:rsidR="005E0B71">
        <w:rPr>
          <w:sz w:val="20"/>
          <w:szCs w:val="20"/>
        </w:rPr>
        <w:t>, Department of IEEE-</w:t>
      </w:r>
      <w:r w:rsidR="0077665C">
        <w:rPr>
          <w:sz w:val="20"/>
          <w:szCs w:val="20"/>
        </w:rPr>
        <w:t>NEMS</w:t>
      </w:r>
      <w:r w:rsidR="005E0B71">
        <w:rPr>
          <w:sz w:val="20"/>
          <w:szCs w:val="20"/>
        </w:rPr>
        <w:t>, University of Nanotechnology Council, NJ 12345, USA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Second author affiliation, Department of Nanotechnology, University of </w:t>
      </w:r>
      <w:r w:rsidR="0077665C">
        <w:rPr>
          <w:sz w:val="20"/>
          <w:szCs w:val="20"/>
        </w:rPr>
        <w:t>NEMS</w:t>
      </w:r>
      <w:r>
        <w:rPr>
          <w:sz w:val="20"/>
          <w:szCs w:val="20"/>
        </w:rPr>
        <w:t>, AR 67890, USA</w:t>
      </w:r>
    </w:p>
    <w:p w14:paraId="1E0B597C" w14:textId="284364E4" w:rsidR="009E3DD7" w:rsidRDefault="005E0B71" w:rsidP="005E0B71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  <w:r w:rsidRPr="005E0B71">
        <w:rPr>
          <w:rFonts w:ascii="Times New Roman" w:eastAsia="Malgun Gothic" w:hAnsi="Times New Roman" w:cs="Times New Roman"/>
          <w:b/>
          <w:i/>
          <w:sz w:val="22"/>
          <w:szCs w:val="22"/>
        </w:rPr>
        <w:t>Abstract</w:t>
      </w:r>
    </w:p>
    <w:p w14:paraId="4803EF25" w14:textId="59FA2E9D" w:rsidR="005E0B71" w:rsidRDefault="005E0B71" w:rsidP="005E0B71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6DDB2482" w14:textId="274F4CD6" w:rsidR="005E0B71" w:rsidRPr="00B809AE" w:rsidRDefault="005E0B71" w:rsidP="005E0B71">
      <w:pPr>
        <w:jc w:val="both"/>
        <w:rPr>
          <w:rFonts w:ascii="Times New Roman" w:eastAsia="Malgun Gothic" w:hAnsi="Times New Roman" w:cs="Times New Roman"/>
          <w:sz w:val="20"/>
          <w:szCs w:val="20"/>
        </w:rPr>
      </w:pP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The abstract must be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less than and equal to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Pr="00B809AE">
        <w:rPr>
          <w:rFonts w:ascii="Times New Roman" w:eastAsia="Malgun Gothic" w:hAnsi="Times New Roman" w:cs="Times New Roman"/>
          <w:b/>
          <w:sz w:val="20"/>
          <w:szCs w:val="20"/>
        </w:rPr>
        <w:t>500 words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. You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 xml:space="preserve">may include the </w:t>
      </w:r>
      <w:r w:rsidRPr="00B809AE">
        <w:rPr>
          <w:rFonts w:ascii="Times New Roman" w:eastAsia="Malgun Gothic" w:hAnsi="Times New Roman" w:cs="Times New Roman"/>
          <w:b/>
          <w:i/>
          <w:sz w:val="20"/>
          <w:szCs w:val="20"/>
        </w:rPr>
        <w:t>list of references</w:t>
      </w:r>
      <w:r w:rsidR="00B809AE" w:rsidRPr="00B809AE">
        <w:rPr>
          <w:rFonts w:ascii="Times New Roman" w:eastAsia="Malgun Gothic" w:hAnsi="Times New Roman" w:cs="Times New Roman"/>
          <w:b/>
          <w:sz w:val="20"/>
          <w:szCs w:val="20"/>
        </w:rPr>
        <w:t xml:space="preserve"> </w:t>
      </w:r>
      <w:r w:rsidR="00B809AE" w:rsidRPr="00B809AE">
        <w:rPr>
          <w:rFonts w:ascii="Times New Roman" w:eastAsia="Malgun Gothic" w:hAnsi="Times New Roman" w:cs="Times New Roman"/>
          <w:sz w:val="20"/>
          <w:szCs w:val="20"/>
        </w:rPr>
        <w:t>[1]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, if needed, using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the IEEE style of reference citations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(see example below).</w:t>
      </w:r>
      <w:r w:rsidR="00B809AE" w:rsidRPr="00B809AE">
        <w:rPr>
          <w:rFonts w:ascii="Times New Roman" w:eastAsia="Malgun Gothic" w:hAnsi="Times New Roman" w:cs="Times New Roman"/>
          <w:sz w:val="20"/>
          <w:szCs w:val="20"/>
        </w:rPr>
        <w:t xml:space="preserve"> Please do NOT use reference styles from publications of other societies or organizations.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Also, you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 xml:space="preserve">may include </w:t>
      </w:r>
      <w:r w:rsidRPr="00B809AE">
        <w:rPr>
          <w:rFonts w:ascii="Times New Roman" w:eastAsia="Malgun Gothic" w:hAnsi="Times New Roman" w:cs="Times New Roman"/>
          <w:b/>
          <w:i/>
          <w:sz w:val="20"/>
          <w:szCs w:val="20"/>
        </w:rPr>
        <w:t>one representative figure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, but the figure must be clear enough,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with a standard of 300 dots per inch (dpi)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>.</w:t>
      </w:r>
      <w:r w:rsidR="00B967AF">
        <w:rPr>
          <w:rFonts w:ascii="Times New Roman" w:eastAsia="Malgun Gothic" w:hAnsi="Times New Roman" w:cs="Times New Roman"/>
          <w:sz w:val="20"/>
          <w:szCs w:val="20"/>
        </w:rPr>
        <w:t xml:space="preserve"> </w:t>
      </w:r>
    </w:p>
    <w:p w14:paraId="7670D55D" w14:textId="61B63842" w:rsidR="00B809AE" w:rsidRDefault="00B809AE" w:rsidP="005E0B71">
      <w:pPr>
        <w:jc w:val="both"/>
        <w:rPr>
          <w:rFonts w:ascii="Times New Roman" w:eastAsia="Malgun Gothic" w:hAnsi="Times New Roman" w:cs="Times New Roman"/>
          <w:sz w:val="22"/>
          <w:szCs w:val="22"/>
        </w:rPr>
      </w:pPr>
    </w:p>
    <w:p w14:paraId="78707F84" w14:textId="77777777" w:rsidR="00B809AE" w:rsidRDefault="00B809AE" w:rsidP="00B809AE">
      <w:pPr>
        <w:pStyle w:val="ReferenceHead"/>
      </w:pPr>
      <w:r>
        <w:t>References</w:t>
      </w:r>
    </w:p>
    <w:p w14:paraId="2C74CBFA" w14:textId="72DBCC8B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G. O. Young, “Synthetic structure of industrial plastics (Book style with paper title and editor),” in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Plastics</w:t>
      </w:r>
      <w:r w:rsidRPr="00B809AE">
        <w:rPr>
          <w:rFonts w:ascii="Times New Roman" w:hAnsi="Times New Roman" w:cs="Times New Roman"/>
          <w:sz w:val="16"/>
          <w:szCs w:val="16"/>
        </w:rPr>
        <w:t>, 2nd ed. vol. 3, J. Peters, Ed.  New York: McGraw-Hill, 1964, pp. 15–64.</w:t>
      </w:r>
    </w:p>
    <w:p w14:paraId="17C203F9" w14:textId="7C09D54E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W.-K. Chen,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Linear Networks and Systems</w:t>
      </w:r>
      <w:r w:rsidRPr="00B809AE">
        <w:rPr>
          <w:rFonts w:ascii="Times New Roman" w:hAnsi="Times New Roman" w:cs="Times New Roman"/>
          <w:sz w:val="16"/>
          <w:szCs w:val="16"/>
        </w:rPr>
        <w:t xml:space="preserve"> (Book style)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3D762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809AE">
        <w:rPr>
          <w:rFonts w:ascii="Times New Roman" w:hAnsi="Times New Roman" w:cs="Times New Roman"/>
          <w:sz w:val="16"/>
          <w:szCs w:val="16"/>
        </w:rPr>
        <w:t>Belmont, CA: Wadsworth, 1993, pp. 123–135.</w:t>
      </w:r>
    </w:p>
    <w:p w14:paraId="091F2C3F" w14:textId="24974F16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H. Poor,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An Introduction to Signal Detection and Estimation</w:t>
      </w:r>
      <w:r w:rsidRPr="00B809AE">
        <w:rPr>
          <w:rFonts w:ascii="Times New Roman" w:hAnsi="Times New Roman" w:cs="Times New Roman"/>
          <w:sz w:val="16"/>
          <w:szCs w:val="16"/>
        </w:rPr>
        <w:t xml:space="preserve">.   New York: Springer-Verlag, 1985, </w:t>
      </w:r>
      <w:proofErr w:type="spellStart"/>
      <w:r w:rsidRPr="00B809AE">
        <w:rPr>
          <w:rFonts w:ascii="Times New Roman" w:hAnsi="Times New Roman" w:cs="Times New Roman"/>
          <w:sz w:val="16"/>
          <w:szCs w:val="16"/>
        </w:rPr>
        <w:t>ch.</w:t>
      </w:r>
      <w:proofErr w:type="spellEnd"/>
      <w:r w:rsidRPr="00B809AE">
        <w:rPr>
          <w:rFonts w:ascii="Times New Roman" w:hAnsi="Times New Roman" w:cs="Times New Roman"/>
          <w:sz w:val="16"/>
          <w:szCs w:val="16"/>
        </w:rPr>
        <w:t xml:space="preserve"> 4.</w:t>
      </w:r>
    </w:p>
    <w:p w14:paraId="0BF116A0" w14:textId="77777777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>B. Smith, “An approach to graphs of linear forms (Unpublished work style),” unpublished.</w:t>
      </w:r>
    </w:p>
    <w:p w14:paraId="3AFDB245" w14:textId="77777777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E. H. Miller, “A note on reflector arrays (Periodical style—Accepted for publication),”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 xml:space="preserve">IEEE Trans. Antennas </w:t>
      </w:r>
      <w:proofErr w:type="spellStart"/>
      <w:r w:rsidRPr="00B809AE">
        <w:rPr>
          <w:rFonts w:ascii="Times New Roman" w:hAnsi="Times New Roman" w:cs="Times New Roman"/>
          <w:i/>
          <w:iCs/>
          <w:sz w:val="16"/>
          <w:szCs w:val="16"/>
        </w:rPr>
        <w:t>Propagat</w:t>
      </w:r>
      <w:proofErr w:type="spellEnd"/>
      <w:r w:rsidRPr="00B809AE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809AE">
        <w:rPr>
          <w:rFonts w:ascii="Times New Roman" w:hAnsi="Times New Roman" w:cs="Times New Roman"/>
          <w:sz w:val="16"/>
          <w:szCs w:val="16"/>
        </w:rPr>
        <w:t>, to be published.</w:t>
      </w:r>
    </w:p>
    <w:p w14:paraId="31ACD91C" w14:textId="77777777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J. Wang, “Fundamentals of erbium-doped fiber amplifiers arrays (Periodical style—Submitted for publication),”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IEEE J. Quantum Electron.</w:t>
      </w:r>
      <w:r w:rsidRPr="00B809AE">
        <w:rPr>
          <w:rFonts w:ascii="Times New Roman" w:hAnsi="Times New Roman" w:cs="Times New Roman"/>
          <w:sz w:val="16"/>
          <w:szCs w:val="16"/>
        </w:rPr>
        <w:t>, submitted for publication.</w:t>
      </w:r>
    </w:p>
    <w:p w14:paraId="4F11CB0E" w14:textId="77777777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>C. J. Kaufman, Rocky Mountain Research Lab., Boulder, CO, private communication, May 1995.</w:t>
      </w:r>
    </w:p>
    <w:p w14:paraId="78A7C7A7" w14:textId="2048FB5D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 xml:space="preserve">Y. Yorozu, M. Hirano, K. Oka, and Y. Tagawa, “Electron spectroscopy studies on magneto-optical media and plastic substrate </w:t>
      </w:r>
      <w:proofErr w:type="gramStart"/>
      <w:r w:rsidRPr="00B809AE">
        <w:t>interfaces(</w:t>
      </w:r>
      <w:proofErr w:type="gramEnd"/>
      <w:r w:rsidRPr="00B809AE">
        <w:t xml:space="preserve">Translation Journals style),” </w:t>
      </w:r>
      <w:r w:rsidRPr="00B809AE">
        <w:rPr>
          <w:i/>
          <w:iCs/>
        </w:rPr>
        <w:t xml:space="preserve">IEEE Transl. J. </w:t>
      </w:r>
      <w:proofErr w:type="spellStart"/>
      <w:r w:rsidRPr="00B809AE">
        <w:rPr>
          <w:i/>
          <w:iCs/>
        </w:rPr>
        <w:t>Magn</w:t>
      </w:r>
      <w:proofErr w:type="spellEnd"/>
      <w:r w:rsidRPr="00B809AE">
        <w:rPr>
          <w:i/>
          <w:iCs/>
        </w:rPr>
        <w:t>.</w:t>
      </w:r>
      <w:r w:rsidR="003D762E">
        <w:rPr>
          <w:i/>
          <w:iCs/>
        </w:rPr>
        <w:t xml:space="preserve"> </w:t>
      </w:r>
      <w:proofErr w:type="spellStart"/>
      <w:r w:rsidRPr="00B809AE">
        <w:rPr>
          <w:i/>
          <w:iCs/>
        </w:rPr>
        <w:t>Jpn</w:t>
      </w:r>
      <w:proofErr w:type="spellEnd"/>
      <w:r w:rsidRPr="00B809AE">
        <w:rPr>
          <w:i/>
          <w:iCs/>
        </w:rPr>
        <w:t>.</w:t>
      </w:r>
      <w:r w:rsidRPr="00B809AE">
        <w:t>, vol. 2, Aug. 1987, pp. 740–741 [</w:t>
      </w:r>
      <w:r w:rsidRPr="00B809AE">
        <w:rPr>
          <w:i/>
          <w:iCs/>
        </w:rPr>
        <w:t>Dig. 9</w:t>
      </w:r>
      <w:r w:rsidRPr="00B809AE">
        <w:rPr>
          <w:i/>
          <w:iCs/>
          <w:vertAlign w:val="superscript"/>
        </w:rPr>
        <w:t>th</w:t>
      </w:r>
      <w:r w:rsidRPr="00B809AE">
        <w:rPr>
          <w:i/>
          <w:iCs/>
        </w:rPr>
        <w:t xml:space="preserve"> </w:t>
      </w:r>
      <w:proofErr w:type="spellStart"/>
      <w:r w:rsidRPr="00B809AE">
        <w:rPr>
          <w:i/>
          <w:iCs/>
        </w:rPr>
        <w:t>Annu</w:t>
      </w:r>
      <w:proofErr w:type="spellEnd"/>
      <w:r w:rsidRPr="00B809AE">
        <w:rPr>
          <w:i/>
          <w:iCs/>
        </w:rPr>
        <w:t>. Conf. Magnetics</w:t>
      </w:r>
      <w:r w:rsidRPr="00B809AE">
        <w:t xml:space="preserve"> Japan, 1982, p. 301].</w:t>
      </w:r>
    </w:p>
    <w:p w14:paraId="57A33D44" w14:textId="67B4A475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 xml:space="preserve">M. Young, </w:t>
      </w:r>
      <w:r w:rsidRPr="00B809AE">
        <w:rPr>
          <w:i/>
          <w:iCs/>
        </w:rPr>
        <w:t xml:space="preserve">The </w:t>
      </w:r>
      <w:r w:rsidR="003D762E" w:rsidRPr="00B809AE">
        <w:rPr>
          <w:i/>
          <w:iCs/>
        </w:rPr>
        <w:t>Technical</w:t>
      </w:r>
      <w:r w:rsidRPr="00B809AE">
        <w:rPr>
          <w:i/>
          <w:iCs/>
        </w:rPr>
        <w:t xml:space="preserve"> Writers Handbook.</w:t>
      </w:r>
      <w:r w:rsidRPr="00B809AE">
        <w:t xml:space="preserve">  Mill Valley, CA: University Science, 1989.</w:t>
      </w:r>
    </w:p>
    <w:p w14:paraId="2C722D40" w14:textId="75E83085" w:rsid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J. U. Duncombe, “Infrared navigation—Part I: An assessment of feasibility (Periodical style),”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IEEE Trans. Electron Devices</w:t>
      </w:r>
      <w:r w:rsidRPr="00B809AE">
        <w:rPr>
          <w:rFonts w:ascii="Times New Roman" w:hAnsi="Times New Roman" w:cs="Times New Roman"/>
          <w:sz w:val="16"/>
          <w:szCs w:val="16"/>
        </w:rPr>
        <w:t>, vol. ED-11, pp. 34–39, Jan. 1959.</w:t>
      </w:r>
    </w:p>
    <w:p w14:paraId="679A4258" w14:textId="77777777" w:rsidR="00B809AE" w:rsidRPr="00B809AE" w:rsidRDefault="00B809AE" w:rsidP="00B809AE">
      <w:pPr>
        <w:autoSpaceDE w:val="0"/>
        <w:autoSpaceDN w:val="0"/>
        <w:ind w:left="360"/>
        <w:rPr>
          <w:rFonts w:ascii="Times New Roman" w:hAnsi="Times New Roman" w:cs="Times New Roman"/>
          <w:sz w:val="16"/>
          <w:szCs w:val="16"/>
        </w:rPr>
      </w:pPr>
    </w:p>
    <w:p w14:paraId="26993656" w14:textId="5BC1C38D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3377D9C8" w14:textId="23F016B1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26D4278C" wp14:editId="0DCFBF3D">
                <wp:extent cx="3056255" cy="1143000"/>
                <wp:effectExtent l="0" t="0" r="17145" b="1270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D5BD" w14:textId="77777777" w:rsidR="00B809AE" w:rsidRDefault="00B809AE" w:rsidP="00B809AE">
                            <w:pPr>
                              <w:pStyle w:val="BodyText"/>
                            </w:pPr>
                            <w:r>
      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      </w:r>
                          </w:p>
                          <w:p w14:paraId="047B8B55" w14:textId="77777777" w:rsidR="00B809AE" w:rsidRDefault="00B809AE" w:rsidP="00B809AE">
                            <w:pPr>
                              <w:pStyle w:val="BodyText"/>
                            </w:pPr>
                            <w:r>
                              <w:t>To have non-visible rules on your frame, use the MSWord “Format” pull-down menu, select Text Box &gt; Colors and Lines to choose No Fill and No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D427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40.6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">
                <v:textbox>
                  <w:txbxContent>
                    <w:p w14:paraId="2A93D5BD" w14:textId="77777777" w:rsidR="00B809AE" w:rsidRDefault="00B809AE" w:rsidP="00B809AE">
                      <w:pPr>
                        <w:pStyle w:val="BodyText"/>
                      </w:pPr>
                      <w:r>
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</w:r>
                    </w:p>
                    <w:p w14:paraId="047B8B55" w14:textId="77777777" w:rsidR="00B809AE" w:rsidRDefault="00B809AE" w:rsidP="00B809AE">
                      <w:pPr>
                        <w:pStyle w:val="BodyText"/>
                      </w:pPr>
                      <w:r>
                        <w:t>To have non-visible rules on your frame, use the MSWord “Format” pull-down menu, select Text Box &gt; Colors and Lines to choose No Fill and No 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34D48" w14:textId="4853BE62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4FBB9702" w14:textId="363A76B4" w:rsidR="00B809AE" w:rsidRPr="00B809AE" w:rsidRDefault="00B809AE" w:rsidP="00B809AE">
      <w:pPr>
        <w:jc w:val="center"/>
        <w:rPr>
          <w:rFonts w:ascii="Times New Roman" w:eastAsia="Malgun Gothic" w:hAnsi="Times New Roman" w:cs="Times New Roman"/>
          <w:sz w:val="16"/>
          <w:szCs w:val="16"/>
        </w:rPr>
      </w:pPr>
      <w:r w:rsidRPr="00B809AE">
        <w:rPr>
          <w:rFonts w:ascii="Times New Roman" w:eastAsia="Malgun Gothic" w:hAnsi="Times New Roman" w:cs="Times New Roman"/>
          <w:sz w:val="16"/>
          <w:szCs w:val="16"/>
        </w:rPr>
        <w:t>Figure 1. Example of a figure caption.</w:t>
      </w:r>
    </w:p>
    <w:sectPr w:rsidR="00B809AE" w:rsidRPr="00B809AE" w:rsidSect="005E0B71">
      <w:pgSz w:w="12240" w:h="15840"/>
      <w:pgMar w:top="2074" w:right="1080" w:bottom="1080" w:left="108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965"/>
    <w:multiLevelType w:val="hybridMultilevel"/>
    <w:tmpl w:val="644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71"/>
    <w:rsid w:val="000F71A5"/>
    <w:rsid w:val="002612D9"/>
    <w:rsid w:val="003C46C7"/>
    <w:rsid w:val="003D762E"/>
    <w:rsid w:val="005C20D9"/>
    <w:rsid w:val="005E0B71"/>
    <w:rsid w:val="007516B9"/>
    <w:rsid w:val="0077665C"/>
    <w:rsid w:val="009E3DD7"/>
    <w:rsid w:val="00B809AE"/>
    <w:rsid w:val="00B967AF"/>
    <w:rsid w:val="00F81AEF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2A7E"/>
  <w15:chartTrackingRefBased/>
  <w15:docId w15:val="{A77B5974-5456-414F-A8EC-D4B9F82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9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E0B71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rFonts w:ascii="Times New Roman" w:eastAsia="Times New Roman" w:hAnsi="Times New Roman" w:cs="Times New Roman"/>
      <w:b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5E0B71"/>
    <w:rPr>
      <w:rFonts w:ascii="Times New Roman" w:eastAsia="Times New Roman" w:hAnsi="Times New Roman" w:cs="Times New Roman"/>
      <w:b/>
      <w:kern w:val="28"/>
      <w:sz w:val="32"/>
      <w:szCs w:val="48"/>
    </w:rPr>
  </w:style>
  <w:style w:type="paragraph" w:customStyle="1" w:styleId="Authors">
    <w:name w:val="Authors"/>
    <w:basedOn w:val="Normal"/>
    <w:next w:val="Normal"/>
    <w:rsid w:val="005E0B71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emberType">
    <w:name w:val="MemberType"/>
    <w:basedOn w:val="DefaultParagraphFont"/>
    <w:rsid w:val="005E0B71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Head">
    <w:name w:val="Reference Head"/>
    <w:basedOn w:val="Heading1"/>
    <w:rsid w:val="00B809AE"/>
    <w:pPr>
      <w:keepLines w:val="0"/>
      <w:autoSpaceDE w:val="0"/>
      <w:autoSpaceDN w:val="0"/>
      <w:spacing w:after="80"/>
      <w:jc w:val="center"/>
    </w:pPr>
    <w:rPr>
      <w:rFonts w:ascii="Times New Roman" w:eastAsia="Times New Roman" w:hAnsi="Times New Roman" w:cs="Times New Roman"/>
      <w:smallCaps/>
      <w:color w:val="auto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9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ces">
    <w:name w:val="References"/>
    <w:basedOn w:val="Normal"/>
    <w:rsid w:val="00B809AE"/>
    <w:pPr>
      <w:numPr>
        <w:numId w:val="1"/>
      </w:num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B809AE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9AE"/>
    <w:rPr>
      <w:rFonts w:ascii="Times New Roman" w:eastAsia="SimSun" w:hAnsi="Times New Roman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Jin-Woo Kim</dc:creator>
  <cp:keywords/>
  <dc:description/>
  <cp:lastModifiedBy>Jin-Woo Kim</cp:lastModifiedBy>
  <cp:revision>3</cp:revision>
  <dcterms:created xsi:type="dcterms:W3CDTF">2020-03-11T00:31:00Z</dcterms:created>
  <dcterms:modified xsi:type="dcterms:W3CDTF">2020-03-11T00:31:00Z</dcterms:modified>
</cp:coreProperties>
</file>